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2A3E1" w14:textId="4A7272FD" w:rsidR="00670C2A" w:rsidRPr="00E80702" w:rsidRDefault="00000000">
      <w:pPr>
        <w:jc w:val="center"/>
        <w:rPr>
          <w:rFonts w:ascii="Times New Roman" w:hAnsi="Times New Roman"/>
          <w:b/>
          <w:sz w:val="26"/>
          <w:szCs w:val="26"/>
          <w:lang w:val="pt-BR"/>
        </w:rPr>
      </w:pPr>
      <w:r w:rsidRPr="00E80702">
        <w:rPr>
          <w:rFonts w:ascii="Times New Roman" w:hAnsi="Times New Roman"/>
          <w:b/>
          <w:sz w:val="26"/>
          <w:szCs w:val="26"/>
          <w:lang w:val="pt-BR"/>
        </w:rPr>
        <w:t>Título: Deve ser objetivo e conciso (</w:t>
      </w:r>
      <w:r w:rsidRPr="00E80702">
        <w:rPr>
          <w:rFonts w:ascii="Times New Roman" w:hAnsi="Times New Roman"/>
          <w:b/>
          <w:color w:val="FF0000"/>
          <w:lang w:val="pt-BR"/>
        </w:rPr>
        <w:t>Fonte Times New Roman,</w:t>
      </w:r>
      <w:r w:rsidR="00E80702">
        <w:rPr>
          <w:rFonts w:ascii="Times New Roman" w:hAnsi="Times New Roman"/>
          <w:b/>
          <w:color w:val="FF0000"/>
          <w:lang w:val="pt-BR"/>
        </w:rPr>
        <w:t xml:space="preserve"> cor preta,</w:t>
      </w:r>
      <w:r w:rsidRPr="00E80702">
        <w:rPr>
          <w:rFonts w:ascii="Times New Roman" w:hAnsi="Times New Roman"/>
          <w:b/>
          <w:color w:val="FF0000"/>
          <w:lang w:val="pt-BR"/>
        </w:rPr>
        <w:t xml:space="preserve"> tamanho 13</w:t>
      </w:r>
      <w:r w:rsidR="00E80702">
        <w:rPr>
          <w:rFonts w:ascii="Times New Roman" w:hAnsi="Times New Roman"/>
          <w:b/>
          <w:color w:val="FF0000"/>
          <w:lang w:val="pt-BR"/>
        </w:rPr>
        <w:t>,</w:t>
      </w:r>
      <w:r w:rsidRPr="00E80702">
        <w:rPr>
          <w:rFonts w:ascii="Times New Roman" w:hAnsi="Times New Roman"/>
          <w:b/>
          <w:color w:val="FF0000"/>
          <w:lang w:val="pt-BR"/>
        </w:rPr>
        <w:t xml:space="preserve"> centralizado</w:t>
      </w:r>
      <w:r w:rsidRPr="00E80702">
        <w:rPr>
          <w:rFonts w:ascii="Times New Roman" w:hAnsi="Times New Roman"/>
          <w:b/>
          <w:sz w:val="26"/>
          <w:szCs w:val="26"/>
          <w:lang w:val="pt-BR"/>
        </w:rPr>
        <w:t>)</w:t>
      </w:r>
    </w:p>
    <w:p w14:paraId="0B15A032" w14:textId="77777777" w:rsidR="00670C2A" w:rsidRPr="00E80702" w:rsidRDefault="00670C2A">
      <w:pPr>
        <w:pBdr>
          <w:top w:val="nil"/>
          <w:left w:val="nil"/>
          <w:bottom w:val="nil"/>
          <w:right w:val="nil"/>
          <w:between w:val="nil"/>
        </w:pBdr>
        <w:jc w:val="both"/>
        <w:rPr>
          <w:rFonts w:ascii="Times New Roman" w:hAnsi="Times New Roman"/>
          <w:b/>
          <w:color w:val="000000"/>
          <w:lang w:val="pt-BR"/>
        </w:rPr>
      </w:pPr>
    </w:p>
    <w:p w14:paraId="57AF4D25" w14:textId="7475DFA3" w:rsidR="00670C2A" w:rsidRPr="00E80702" w:rsidRDefault="00000000">
      <w:pPr>
        <w:pBdr>
          <w:top w:val="nil"/>
          <w:left w:val="nil"/>
          <w:bottom w:val="nil"/>
          <w:right w:val="nil"/>
          <w:between w:val="nil"/>
        </w:pBdr>
        <w:jc w:val="both"/>
        <w:rPr>
          <w:rFonts w:ascii="Times New Roman" w:hAnsi="Times New Roman"/>
          <w:lang w:val="pt-BR"/>
        </w:rPr>
      </w:pPr>
      <w:r w:rsidRPr="00E80702">
        <w:rPr>
          <w:rFonts w:ascii="Times New Roman" w:hAnsi="Times New Roman"/>
          <w:lang w:val="pt-BR"/>
        </w:rPr>
        <w:t>Autores: Nome completo (In</w:t>
      </w:r>
      <w:r w:rsidR="00E80702">
        <w:rPr>
          <w:rFonts w:ascii="Times New Roman" w:hAnsi="Times New Roman"/>
          <w:lang w:val="pt-BR"/>
        </w:rPr>
        <w:t>s</w:t>
      </w:r>
      <w:r w:rsidRPr="00E80702">
        <w:rPr>
          <w:rFonts w:ascii="Times New Roman" w:hAnsi="Times New Roman"/>
          <w:lang w:val="pt-BR"/>
        </w:rPr>
        <w:t>ti</w:t>
      </w:r>
      <w:r w:rsidR="00E80702">
        <w:rPr>
          <w:rFonts w:ascii="Times New Roman" w:hAnsi="Times New Roman"/>
          <w:lang w:val="pt-BR"/>
        </w:rPr>
        <w:t>t</w:t>
      </w:r>
      <w:r w:rsidRPr="00E80702">
        <w:rPr>
          <w:rFonts w:ascii="Times New Roman" w:hAnsi="Times New Roman"/>
          <w:lang w:val="pt-BR"/>
        </w:rPr>
        <w:t xml:space="preserve">uição, e-mail) </w:t>
      </w:r>
      <w:r w:rsidR="00E80702">
        <w:rPr>
          <w:rFonts w:ascii="Times New Roman" w:hAnsi="Times New Roman"/>
          <w:lang w:val="pt-BR"/>
        </w:rPr>
        <w:t>–</w:t>
      </w:r>
      <w:r w:rsidRPr="00E80702">
        <w:rPr>
          <w:rFonts w:ascii="Times New Roman" w:hAnsi="Times New Roman"/>
          <w:lang w:val="pt-BR"/>
        </w:rPr>
        <w:t xml:space="preserve"> </w:t>
      </w:r>
      <w:r w:rsidR="00E80702" w:rsidRPr="00E80702">
        <w:rPr>
          <w:rFonts w:ascii="Times New Roman" w:hAnsi="Times New Roman"/>
          <w:color w:val="FF0000"/>
          <w:lang w:val="pt-BR"/>
        </w:rPr>
        <w:t xml:space="preserve">Fonte </w:t>
      </w:r>
      <w:r w:rsidRPr="00E80702">
        <w:rPr>
          <w:rFonts w:ascii="Times New Roman" w:hAnsi="Times New Roman"/>
          <w:color w:val="FF0000"/>
          <w:lang w:val="pt-BR"/>
        </w:rPr>
        <w:t xml:space="preserve">Times New Roman, </w:t>
      </w:r>
      <w:r w:rsidR="00E80702">
        <w:rPr>
          <w:rFonts w:ascii="Times New Roman" w:hAnsi="Times New Roman"/>
          <w:color w:val="FF0000"/>
          <w:lang w:val="pt-BR"/>
        </w:rPr>
        <w:t xml:space="preserve">cor preta, </w:t>
      </w:r>
      <w:r w:rsidRPr="00E80702">
        <w:rPr>
          <w:rFonts w:ascii="Times New Roman" w:hAnsi="Times New Roman"/>
          <w:color w:val="FF0000"/>
          <w:lang w:val="pt-BR"/>
        </w:rPr>
        <w:t xml:space="preserve">tamanho 10, justificado. </w:t>
      </w:r>
    </w:p>
    <w:p w14:paraId="7B2F5A02" w14:textId="77777777" w:rsidR="00670C2A" w:rsidRPr="00E80702" w:rsidRDefault="00670C2A">
      <w:pPr>
        <w:rPr>
          <w:rFonts w:ascii="Times New Roman" w:hAnsi="Times New Roman"/>
          <w:i/>
          <w:highlight w:val="white"/>
          <w:lang w:val="pt-BR"/>
        </w:rPr>
      </w:pPr>
    </w:p>
    <w:p w14:paraId="629CE933" w14:textId="77777777" w:rsidR="00670C2A" w:rsidRPr="00E80702" w:rsidRDefault="00000000">
      <w:pPr>
        <w:rPr>
          <w:rFonts w:ascii="Times New Roman" w:hAnsi="Times New Roman"/>
          <w:b/>
          <w:color w:val="000000"/>
          <w:lang w:val="pt-BR"/>
        </w:rPr>
      </w:pPr>
      <w:r w:rsidRPr="00E80702">
        <w:rPr>
          <w:rFonts w:ascii="Times New Roman" w:hAnsi="Times New Roman"/>
          <w:i/>
          <w:highlight w:val="white"/>
          <w:lang w:val="pt-BR"/>
        </w:rPr>
        <w:t xml:space="preserve">Área temática:  </w:t>
      </w:r>
    </w:p>
    <w:p w14:paraId="38AB27B7" w14:textId="77777777" w:rsidR="00670C2A" w:rsidRPr="00E80702" w:rsidRDefault="00000000">
      <w:pPr>
        <w:pBdr>
          <w:top w:val="single" w:sz="8" w:space="1" w:color="000000"/>
          <w:left w:val="single" w:sz="8" w:space="4" w:color="000000"/>
          <w:bottom w:val="single" w:sz="8" w:space="0" w:color="000000"/>
          <w:right w:val="single" w:sz="8" w:space="4" w:color="000000"/>
          <w:between w:val="nil"/>
        </w:pBdr>
        <w:shd w:val="clear" w:color="auto" w:fill="A1BC3C"/>
        <w:spacing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Resumo</w:t>
      </w:r>
    </w:p>
    <w:p w14:paraId="191F5752" w14:textId="42F086EE" w:rsidR="00670C2A" w:rsidRDefault="00000000">
      <w:pPr>
        <w:jc w:val="both"/>
        <w:rPr>
          <w:rFonts w:ascii="Times New Roman" w:hAnsi="Times New Roman"/>
          <w:color w:val="0000FF"/>
        </w:rPr>
      </w:pPr>
      <w:r w:rsidRPr="00E80702">
        <w:rPr>
          <w:rFonts w:ascii="Times New Roman" w:hAnsi="Times New Roman"/>
          <w:lang w:val="pt-BR"/>
        </w:rPr>
        <w:t>O resumo deve ser objetivo e conter: introdução, objetivo, resultados, discussão e conclusão</w:t>
      </w:r>
      <w:r w:rsidR="00E80702">
        <w:rPr>
          <w:rFonts w:ascii="Times New Roman" w:hAnsi="Times New Roman"/>
          <w:lang w:val="pt-BR"/>
        </w:rPr>
        <w:t>,</w:t>
      </w:r>
      <w:r w:rsidRPr="00E80702">
        <w:rPr>
          <w:rFonts w:ascii="Times New Roman" w:hAnsi="Times New Roman"/>
          <w:lang w:val="pt-BR"/>
        </w:rPr>
        <w:t xml:space="preserve"> limitando a 100 palavras. </w:t>
      </w:r>
      <w:r w:rsidR="00E80702" w:rsidRPr="00E80702">
        <w:rPr>
          <w:rFonts w:ascii="Times New Roman" w:hAnsi="Times New Roman"/>
          <w:color w:val="FF0000"/>
          <w:lang w:val="pt-BR"/>
        </w:rPr>
        <w:t xml:space="preserve">Fonte: </w:t>
      </w:r>
      <w:r w:rsidRPr="00E80702">
        <w:rPr>
          <w:rFonts w:ascii="Times New Roman" w:hAnsi="Times New Roman"/>
          <w:color w:val="FF0000"/>
          <w:lang w:val="pt-BR"/>
        </w:rPr>
        <w:t>Times New Roman,</w:t>
      </w:r>
      <w:r w:rsidR="00E80702" w:rsidRPr="00E80702">
        <w:rPr>
          <w:rFonts w:ascii="Times New Roman" w:hAnsi="Times New Roman"/>
          <w:color w:val="FF0000"/>
          <w:lang w:val="pt-BR"/>
        </w:rPr>
        <w:t xml:space="preserve"> cor preta,</w:t>
      </w:r>
      <w:r w:rsidRPr="00E80702">
        <w:rPr>
          <w:rFonts w:ascii="Times New Roman" w:hAnsi="Times New Roman"/>
          <w:color w:val="FF0000"/>
          <w:lang w:val="pt-BR"/>
        </w:rPr>
        <w:t xml:space="preserve"> tamanho 10, justificado. </w:t>
      </w:r>
      <w:r>
        <w:rPr>
          <w:rFonts w:ascii="Times New Roman" w:hAnsi="Times New Roman"/>
          <w:color w:val="0000FF"/>
        </w:rPr>
        <w:t xml:space="preserve">The cultivation of safower for biofuel production can help to reduce dependence on fossil fuels and promote sustainable agriculture, particularly in semi-arid regions where water resources are limited or where other crops are not well-suited </w:t>
      </w:r>
      <w:proofErr w:type="gramStart"/>
      <w:r>
        <w:rPr>
          <w:rFonts w:ascii="Times New Roman" w:hAnsi="Times New Roman"/>
          <w:color w:val="0000FF"/>
        </w:rPr>
        <w:t>to  the</w:t>
      </w:r>
      <w:proofErr w:type="gramEnd"/>
      <w:r>
        <w:rPr>
          <w:rFonts w:ascii="Times New Roman" w:hAnsi="Times New Roman"/>
          <w:color w:val="0000FF"/>
        </w:rPr>
        <w:t xml:space="preserve"> local climate and soil conditions. This study applied the Life Cycle Assessment (LCA) methodology to quantify the greenhouse gas (GHG) emissions associated with the farming of safower seeds at an experimental plot located in Northeast Brazil (semi-arid region). </w:t>
      </w:r>
    </w:p>
    <w:p w14:paraId="6265B556" w14:textId="4D594BA6" w:rsidR="00670C2A" w:rsidRPr="00E80702" w:rsidRDefault="00000000">
      <w:pPr>
        <w:jc w:val="both"/>
        <w:rPr>
          <w:lang w:val="pt-BR"/>
        </w:rPr>
      </w:pPr>
      <w:r w:rsidRPr="00E80702">
        <w:rPr>
          <w:rFonts w:ascii="Times New Roman" w:hAnsi="Times New Roman"/>
          <w:b/>
          <w:color w:val="000000"/>
          <w:lang w:val="pt-BR"/>
        </w:rPr>
        <w:t>Palavras-Chave:</w:t>
      </w:r>
      <w:r w:rsidRPr="00E80702">
        <w:rPr>
          <w:rFonts w:ascii="Times New Roman" w:hAnsi="Times New Roman"/>
          <w:color w:val="000000"/>
          <w:lang w:val="pt-BR"/>
        </w:rPr>
        <w:t xml:space="preserve"> </w:t>
      </w:r>
      <w:r w:rsidRPr="00E80702">
        <w:rPr>
          <w:rFonts w:ascii="Times New Roman" w:hAnsi="Times New Roman"/>
          <w:lang w:val="pt-BR"/>
        </w:rPr>
        <w:t xml:space="preserve">4 </w:t>
      </w:r>
      <w:r w:rsidR="00E80702" w:rsidRPr="00E80702">
        <w:rPr>
          <w:rFonts w:ascii="Times New Roman" w:hAnsi="Times New Roman"/>
          <w:lang w:val="pt-BR"/>
        </w:rPr>
        <w:t>palavras-chave</w:t>
      </w:r>
      <w:r w:rsidRPr="00E80702">
        <w:rPr>
          <w:rFonts w:ascii="Times New Roman" w:hAnsi="Times New Roman"/>
          <w:lang w:val="pt-BR"/>
        </w:rPr>
        <w:t xml:space="preserve"> </w:t>
      </w:r>
      <w:r w:rsidRPr="00E80702">
        <w:rPr>
          <w:rFonts w:ascii="Times New Roman" w:hAnsi="Times New Roman"/>
          <w:color w:val="FF0000"/>
          <w:lang w:val="pt-BR"/>
        </w:rPr>
        <w:t xml:space="preserve">Times New Roman, </w:t>
      </w:r>
      <w:r w:rsidR="00E80702">
        <w:rPr>
          <w:rFonts w:ascii="Times New Roman" w:hAnsi="Times New Roman"/>
          <w:color w:val="FF0000"/>
          <w:lang w:val="pt-BR"/>
        </w:rPr>
        <w:t xml:space="preserve">cor preta, </w:t>
      </w:r>
      <w:r w:rsidRPr="00E80702">
        <w:rPr>
          <w:rFonts w:ascii="Times New Roman" w:hAnsi="Times New Roman"/>
          <w:color w:val="FF0000"/>
          <w:lang w:val="pt-BR"/>
        </w:rPr>
        <w:t>tamanho 10, justificado.</w:t>
      </w:r>
    </w:p>
    <w:p w14:paraId="72EA8832" w14:textId="77777777" w:rsidR="00670C2A" w:rsidRPr="00E80702" w:rsidRDefault="00670C2A">
      <w:pPr>
        <w:jc w:val="both"/>
        <w:rPr>
          <w:rFonts w:ascii="Times New Roman" w:hAnsi="Times New Roman"/>
          <w:lang w:val="pt-BR"/>
        </w:rPr>
        <w:sectPr w:rsidR="00670C2A" w:rsidRPr="00E80702">
          <w:headerReference w:type="default" r:id="rId7"/>
          <w:footerReference w:type="default" r:id="rId8"/>
          <w:pgSz w:w="11906" w:h="16838"/>
          <w:pgMar w:top="676" w:right="851" w:bottom="1134" w:left="1134" w:header="619" w:footer="624" w:gutter="0"/>
          <w:pgNumType w:start="1"/>
          <w:cols w:space="720"/>
        </w:sectPr>
      </w:pPr>
    </w:p>
    <w:p w14:paraId="2A77CBD8" w14:textId="77777777" w:rsidR="00670C2A" w:rsidRPr="00E80702" w:rsidRDefault="00000000">
      <w:pPr>
        <w:pBdr>
          <w:top w:val="single" w:sz="8" w:space="1" w:color="000000"/>
          <w:left w:val="single" w:sz="8" w:space="4" w:color="000000"/>
          <w:bottom w:val="single" w:sz="8" w:space="0" w:color="000000"/>
          <w:right w:val="single" w:sz="8" w:space="4" w:color="000000"/>
          <w:between w:val="nil"/>
        </w:pBdr>
        <w:shd w:val="clear" w:color="auto" w:fill="A1BC3C"/>
        <w:spacing w:after="100"/>
        <w:ind w:left="85" w:right="130"/>
        <w:jc w:val="center"/>
        <w:rPr>
          <w:rFonts w:ascii="Times New Roman" w:hAnsi="Times New Roman"/>
          <w:b/>
          <w:color w:val="FFFFFF"/>
          <w:sz w:val="24"/>
          <w:szCs w:val="24"/>
          <w:lang w:val="pt-BR"/>
        </w:rPr>
      </w:pPr>
      <w:r w:rsidRPr="00E80702">
        <w:rPr>
          <w:rFonts w:ascii="Times New Roman" w:hAnsi="Times New Roman"/>
          <w:b/>
          <w:sz w:val="24"/>
          <w:szCs w:val="24"/>
          <w:lang w:val="pt-BR"/>
        </w:rPr>
        <w:t>Introdução</w:t>
      </w:r>
      <w:r w:rsidRPr="00E80702">
        <w:rPr>
          <w:rFonts w:ascii="Times New Roman" w:hAnsi="Times New Roman"/>
          <w:b/>
          <w:color w:val="FFFFFF"/>
          <w:lang w:val="pt-BR"/>
        </w:rPr>
        <w:tab/>
      </w:r>
    </w:p>
    <w:p w14:paraId="50D3E3AD" w14:textId="1468807B" w:rsidR="00670C2A" w:rsidRDefault="00E80702">
      <w:pPr>
        <w:shd w:val="clear" w:color="auto" w:fill="FFFFFF"/>
        <w:spacing w:after="200"/>
        <w:jc w:val="both"/>
        <w:rPr>
          <w:rFonts w:ascii="Times New Roman" w:hAnsi="Times New Roman"/>
          <w:color w:val="FF0000"/>
        </w:rPr>
      </w:pPr>
      <w:r>
        <w:rPr>
          <w:rFonts w:ascii="Times New Roman" w:hAnsi="Times New Roman"/>
          <w:color w:val="FF0000"/>
          <w:lang w:val="pt-BR"/>
        </w:rPr>
        <w:t xml:space="preserve">Fonte </w:t>
      </w:r>
      <w:r w:rsidR="00000000" w:rsidRPr="00E80702">
        <w:rPr>
          <w:rFonts w:ascii="Times New Roman" w:hAnsi="Times New Roman"/>
          <w:color w:val="FF0000"/>
          <w:lang w:val="pt-BR"/>
        </w:rPr>
        <w:t>Times New Roman,</w:t>
      </w:r>
      <w:r>
        <w:rPr>
          <w:rFonts w:ascii="Times New Roman" w:hAnsi="Times New Roman"/>
          <w:color w:val="FF0000"/>
          <w:lang w:val="pt-BR"/>
        </w:rPr>
        <w:t xml:space="preserve"> cor preta,</w:t>
      </w:r>
      <w:r w:rsidR="00000000" w:rsidRPr="00E80702">
        <w:rPr>
          <w:rFonts w:ascii="Times New Roman" w:hAnsi="Times New Roman"/>
          <w:color w:val="FF0000"/>
          <w:lang w:val="pt-BR"/>
        </w:rPr>
        <w:t xml:space="preserve"> tamanho 10, justificado, Máximo 100 </w:t>
      </w:r>
      <w:proofErr w:type="gramStart"/>
      <w:r w:rsidR="00000000" w:rsidRPr="00E80702">
        <w:rPr>
          <w:rFonts w:ascii="Times New Roman" w:hAnsi="Times New Roman"/>
          <w:color w:val="FF0000"/>
          <w:lang w:val="pt-BR"/>
        </w:rPr>
        <w:t>palavras..</w:t>
      </w:r>
      <w:proofErr w:type="gramEnd"/>
      <w:r w:rsidR="00000000" w:rsidRPr="00E80702">
        <w:rPr>
          <w:rFonts w:ascii="Times New Roman" w:hAnsi="Times New Roman"/>
          <w:color w:val="FF0000"/>
          <w:lang w:val="pt-BR"/>
        </w:rPr>
        <w:t xml:space="preserve"> </w:t>
      </w:r>
      <w:r w:rsidR="00000000" w:rsidRPr="00E80702">
        <w:rPr>
          <w:rFonts w:ascii="Times New Roman" w:hAnsi="Times New Roman"/>
          <w:lang w:val="pt-BR"/>
        </w:rPr>
        <w:t xml:space="preserve"> </w:t>
      </w:r>
      <w:r w:rsidR="00000000" w:rsidRPr="00E80702">
        <w:rPr>
          <w:rFonts w:ascii="Times New Roman" w:hAnsi="Times New Roman"/>
          <w:color w:val="FF0000"/>
          <w:lang w:val="pt-BR"/>
        </w:rPr>
        <w:t xml:space="preserve"> </w:t>
      </w:r>
      <w:r w:rsidR="00000000">
        <w:rPr>
          <w:rFonts w:ascii="Times New Roman" w:hAnsi="Times New Roman"/>
          <w:color w:val="0000FF"/>
        </w:rPr>
        <w:t>Greenhouse gas (GHG) emissions are one of the negativeimpacts associated with the use of nonrenewable energysources, contributing to global warming and climate change.According to the Intergovernmental Panel on ClimateChange (IPCC, Intergovernmental Panel on Climate [1], the increase in atmospheric temperature resultingfrom anthropogenic activities in the period 2010–2019 was1.06°C and the carbon dioxide concentrations in 2019 werethe highest recorded within the last 2000 years. In this context, the use of renewable energy sources such as biomass is primordial to decrease GHG emissions and other environmental impacts associated with the use of fossil fuels [2].</w:t>
      </w:r>
    </w:p>
    <w:p w14:paraId="6BD24541" w14:textId="77777777" w:rsidR="00670C2A" w:rsidRPr="00E80702" w:rsidRDefault="00000000">
      <w:pPr>
        <w:pBdr>
          <w:top w:val="single" w:sz="8" w:space="0" w:color="000000"/>
          <w:left w:val="single" w:sz="8" w:space="4" w:color="000000"/>
          <w:bottom w:val="single" w:sz="8" w:space="0" w:color="000000"/>
          <w:right w:val="single" w:sz="8" w:space="4" w:color="000000"/>
          <w:between w:val="nil"/>
        </w:pBdr>
        <w:shd w:val="clear" w:color="auto" w:fill="A1BC3C"/>
        <w:spacing w:before="100" w:after="100"/>
        <w:ind w:left="85" w:right="130"/>
        <w:jc w:val="center"/>
        <w:rPr>
          <w:rFonts w:ascii="Times New Roman" w:hAnsi="Times New Roman"/>
          <w:color w:val="FF0000"/>
          <w:lang w:val="pt-BR"/>
        </w:rPr>
      </w:pPr>
      <w:r w:rsidRPr="00E80702">
        <w:rPr>
          <w:rFonts w:ascii="Times New Roman" w:hAnsi="Times New Roman"/>
          <w:b/>
          <w:sz w:val="24"/>
          <w:szCs w:val="24"/>
          <w:lang w:val="pt-BR"/>
        </w:rPr>
        <w:t xml:space="preserve">Objetivos </w:t>
      </w:r>
    </w:p>
    <w:p w14:paraId="7CB7AD8B" w14:textId="77777777" w:rsidR="00670C2A" w:rsidRPr="00E80702" w:rsidRDefault="00670C2A">
      <w:pPr>
        <w:shd w:val="clear" w:color="auto" w:fill="FFFFFF"/>
        <w:ind w:firstLine="709"/>
        <w:jc w:val="both"/>
        <w:rPr>
          <w:rFonts w:ascii="Times New Roman" w:hAnsi="Times New Roman"/>
          <w:color w:val="FF0000"/>
          <w:lang w:val="pt-BR"/>
        </w:rPr>
      </w:pPr>
    </w:p>
    <w:p w14:paraId="2D89B318" w14:textId="7A4592CA" w:rsidR="00670C2A" w:rsidRPr="00E80702" w:rsidRDefault="00E80702" w:rsidP="00E80702">
      <w:pPr>
        <w:shd w:val="clear" w:color="auto" w:fill="FFFFFF"/>
        <w:jc w:val="both"/>
        <w:rPr>
          <w:rFonts w:ascii="Times New Roman" w:hAnsi="Times New Roman"/>
          <w:color w:val="FF0000"/>
          <w:lang w:val="pt-BR"/>
        </w:rPr>
      </w:pPr>
      <w:r>
        <w:rPr>
          <w:rFonts w:ascii="Times New Roman" w:hAnsi="Times New Roman"/>
          <w:color w:val="FF0000"/>
          <w:lang w:val="pt-BR"/>
        </w:rPr>
        <w:t xml:space="preserve">Fonte </w:t>
      </w:r>
      <w:r w:rsidR="00000000" w:rsidRPr="00E80702">
        <w:rPr>
          <w:rFonts w:ascii="Times New Roman" w:hAnsi="Times New Roman"/>
          <w:color w:val="FF0000"/>
          <w:lang w:val="pt-BR"/>
        </w:rPr>
        <w:t xml:space="preserve">Times New Roman, </w:t>
      </w:r>
      <w:r>
        <w:rPr>
          <w:rFonts w:ascii="Times New Roman" w:hAnsi="Times New Roman"/>
          <w:color w:val="FF0000"/>
          <w:lang w:val="pt-BR"/>
        </w:rPr>
        <w:t xml:space="preserve">cor preta, </w:t>
      </w:r>
      <w:r w:rsidR="00000000" w:rsidRPr="00E80702">
        <w:rPr>
          <w:rFonts w:ascii="Times New Roman" w:hAnsi="Times New Roman"/>
          <w:color w:val="FF0000"/>
          <w:lang w:val="pt-BR"/>
        </w:rPr>
        <w:t>tamanho 10, justificado.</w:t>
      </w:r>
    </w:p>
    <w:p w14:paraId="16A87477" w14:textId="77777777" w:rsidR="00670C2A" w:rsidRPr="00E80702" w:rsidRDefault="00670C2A">
      <w:pPr>
        <w:shd w:val="clear" w:color="auto" w:fill="FFFFFF"/>
        <w:ind w:firstLine="709"/>
        <w:jc w:val="both"/>
        <w:rPr>
          <w:rFonts w:ascii="Times New Roman" w:hAnsi="Times New Roman"/>
          <w:color w:val="FF0000"/>
          <w:lang w:val="pt-BR"/>
        </w:rPr>
      </w:pPr>
    </w:p>
    <w:p w14:paraId="5788BD6A" w14:textId="77777777" w:rsidR="00670C2A" w:rsidRPr="00E80702" w:rsidRDefault="00000000">
      <w:pPr>
        <w:pBdr>
          <w:top w:val="single" w:sz="8" w:space="0" w:color="000000"/>
          <w:left w:val="single" w:sz="8" w:space="4" w:color="000000"/>
          <w:bottom w:val="single" w:sz="8" w:space="0" w:color="000000"/>
          <w:right w:val="single" w:sz="8" w:space="4" w:color="000000"/>
          <w:between w:val="nil"/>
        </w:pBdr>
        <w:shd w:val="clear" w:color="auto" w:fill="A1BC3C"/>
        <w:spacing w:before="100"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Material e Métodos</w:t>
      </w:r>
    </w:p>
    <w:p w14:paraId="33D77096" w14:textId="543AFC3F" w:rsidR="00670C2A" w:rsidRDefault="00E80702">
      <w:pPr>
        <w:shd w:val="clear" w:color="auto" w:fill="FFFFFF"/>
        <w:spacing w:after="200"/>
        <w:jc w:val="both"/>
        <w:rPr>
          <w:rFonts w:ascii="Times New Roman" w:hAnsi="Times New Roman"/>
          <w:color w:val="0000FF"/>
        </w:rPr>
      </w:pPr>
      <w:r>
        <w:rPr>
          <w:rFonts w:ascii="Times New Roman" w:hAnsi="Times New Roman"/>
          <w:color w:val="FF0000"/>
          <w:lang w:val="pt-BR"/>
        </w:rPr>
        <w:t xml:space="preserve">Fonte </w:t>
      </w:r>
      <w:r w:rsidR="00000000" w:rsidRPr="00E80702">
        <w:rPr>
          <w:rFonts w:ascii="Times New Roman" w:hAnsi="Times New Roman"/>
          <w:color w:val="FF0000"/>
          <w:lang w:val="pt-BR"/>
        </w:rPr>
        <w:t>Times New Roman,</w:t>
      </w:r>
      <w:r>
        <w:rPr>
          <w:rFonts w:ascii="Times New Roman" w:hAnsi="Times New Roman"/>
          <w:color w:val="FF0000"/>
          <w:lang w:val="pt-BR"/>
        </w:rPr>
        <w:t xml:space="preserve"> cor preta,</w:t>
      </w:r>
      <w:r w:rsidR="00000000" w:rsidRPr="00E80702">
        <w:rPr>
          <w:rFonts w:ascii="Times New Roman" w:hAnsi="Times New Roman"/>
          <w:color w:val="FF0000"/>
          <w:lang w:val="pt-BR"/>
        </w:rPr>
        <w:t xml:space="preserve"> tamanho 10, justificado, Máximo 100 </w:t>
      </w:r>
      <w:proofErr w:type="gramStart"/>
      <w:r w:rsidR="00000000" w:rsidRPr="00E80702">
        <w:rPr>
          <w:rFonts w:ascii="Times New Roman" w:hAnsi="Times New Roman"/>
          <w:color w:val="FF0000"/>
          <w:lang w:val="pt-BR"/>
        </w:rPr>
        <w:t>palavras..</w:t>
      </w:r>
      <w:proofErr w:type="gramEnd"/>
      <w:r w:rsidR="00000000" w:rsidRPr="00E80702">
        <w:rPr>
          <w:rFonts w:ascii="Times New Roman" w:hAnsi="Times New Roman"/>
          <w:color w:val="FF0000"/>
          <w:lang w:val="pt-BR"/>
        </w:rPr>
        <w:t xml:space="preserve"> </w:t>
      </w:r>
      <w:r w:rsidR="00000000" w:rsidRPr="00E80702">
        <w:rPr>
          <w:rFonts w:ascii="Times New Roman" w:hAnsi="Times New Roman"/>
          <w:lang w:val="pt-BR"/>
        </w:rPr>
        <w:t xml:space="preserve"> </w:t>
      </w:r>
      <w:r w:rsidR="00000000" w:rsidRPr="00E80702">
        <w:rPr>
          <w:rFonts w:ascii="Times New Roman" w:hAnsi="Times New Roman"/>
          <w:color w:val="0000FF"/>
          <w:lang w:val="pt-BR"/>
        </w:rPr>
        <w:t xml:space="preserve"> </w:t>
      </w:r>
      <w:r w:rsidR="00000000">
        <w:rPr>
          <w:rFonts w:ascii="Times New Roman" w:hAnsi="Times New Roman"/>
          <w:color w:val="0000FF"/>
        </w:rPr>
        <w:t xml:space="preserve">Life Cycle Assessment (LCA) is a consolidated, state of the art methodology to quantify the environmental impacts associated with products, processes, and activities. LCA has been standardized by the International Organization for Standardization (ISO) in its standards </w:t>
      </w:r>
      <w:proofErr w:type="gramStart"/>
      <w:r w:rsidR="00000000">
        <w:rPr>
          <w:rFonts w:ascii="Times New Roman" w:hAnsi="Times New Roman"/>
          <w:color w:val="0000FF"/>
        </w:rPr>
        <w:t>ISO..</w:t>
      </w:r>
      <w:proofErr w:type="gramEnd"/>
      <w:r w:rsidR="00000000">
        <w:rPr>
          <w:rFonts w:ascii="Times New Roman" w:hAnsi="Times New Roman"/>
          <w:color w:val="0000FF"/>
        </w:rPr>
        <w:t xml:space="preserve"> Safower was cultivated at a 5000 m2 area located at the experimental feld of the Federal Institute of Education, Science, and Technology of Rio Grande do Norte (IFRN), campus </w:t>
      </w:r>
      <w:proofErr w:type="gramStart"/>
      <w:r w:rsidR="00000000">
        <w:rPr>
          <w:rFonts w:ascii="Times New Roman" w:hAnsi="Times New Roman"/>
          <w:color w:val="0000FF"/>
        </w:rPr>
        <w:t>Apodi,with</w:t>
      </w:r>
      <w:proofErr w:type="gramEnd"/>
      <w:r w:rsidR="00000000">
        <w:rPr>
          <w:rFonts w:ascii="Times New Roman" w:hAnsi="Times New Roman"/>
          <w:color w:val="0000FF"/>
        </w:rPr>
        <w:t xml:space="preserve"> geographic coordinates 5°37′32″S 37°48′30″W. The region presents a semiarid climate, and data collection occurred during the period june–september 2022 (dry season). </w:t>
      </w:r>
    </w:p>
    <w:p w14:paraId="6B07059A" w14:textId="77777777" w:rsidR="00670C2A" w:rsidRPr="00E80702" w:rsidRDefault="00000000">
      <w:pPr>
        <w:pBdr>
          <w:top w:val="single" w:sz="8" w:space="0" w:color="000000"/>
          <w:left w:val="single" w:sz="8" w:space="4" w:color="000000"/>
          <w:bottom w:val="single" w:sz="8" w:space="0" w:color="000000"/>
          <w:right w:val="single" w:sz="8" w:space="4" w:color="000000"/>
        </w:pBdr>
        <w:shd w:val="clear" w:color="auto" w:fill="A1BC3C"/>
        <w:spacing w:before="100"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Resultados e discussão</w:t>
      </w:r>
    </w:p>
    <w:p w14:paraId="076EE05B" w14:textId="77777777" w:rsidR="00670C2A" w:rsidRPr="00E80702" w:rsidRDefault="00670C2A">
      <w:pPr>
        <w:ind w:firstLine="709"/>
        <w:jc w:val="both"/>
        <w:rPr>
          <w:rFonts w:ascii="Times New Roman" w:hAnsi="Times New Roman"/>
          <w:lang w:val="pt-BR"/>
        </w:rPr>
      </w:pPr>
    </w:p>
    <w:p w14:paraId="43A1BCD4" w14:textId="2955F52D" w:rsidR="00670C2A" w:rsidRDefault="00E80702">
      <w:pPr>
        <w:shd w:val="clear" w:color="auto" w:fill="FFFFFF"/>
        <w:spacing w:after="200"/>
        <w:jc w:val="both"/>
        <w:rPr>
          <w:rFonts w:ascii="Times New Roman" w:hAnsi="Times New Roman"/>
          <w:color w:val="FF0000"/>
        </w:rPr>
      </w:pPr>
      <w:bookmarkStart w:id="0" w:name="_heading=h.gjdgxs" w:colFirst="0" w:colLast="0"/>
      <w:bookmarkEnd w:id="0"/>
      <w:r>
        <w:rPr>
          <w:rFonts w:ascii="Times New Roman" w:hAnsi="Times New Roman"/>
          <w:color w:val="FF0000"/>
          <w:lang w:val="pt-BR"/>
        </w:rPr>
        <w:t xml:space="preserve">Fonte </w:t>
      </w:r>
      <w:r w:rsidR="00000000" w:rsidRPr="00E80702">
        <w:rPr>
          <w:rFonts w:ascii="Times New Roman" w:hAnsi="Times New Roman"/>
          <w:color w:val="FF0000"/>
          <w:lang w:val="pt-BR"/>
        </w:rPr>
        <w:t>Times New Roman,</w:t>
      </w:r>
      <w:r>
        <w:rPr>
          <w:rFonts w:ascii="Times New Roman" w:hAnsi="Times New Roman"/>
          <w:color w:val="FF0000"/>
          <w:lang w:val="pt-BR"/>
        </w:rPr>
        <w:t xml:space="preserve"> cor preta,</w:t>
      </w:r>
      <w:r w:rsidR="00000000" w:rsidRPr="00E80702">
        <w:rPr>
          <w:rFonts w:ascii="Times New Roman" w:hAnsi="Times New Roman"/>
          <w:color w:val="FF0000"/>
          <w:lang w:val="pt-BR"/>
        </w:rPr>
        <w:t xml:space="preserve"> tamanho 10, justificado, máximo 250 palavras. </w:t>
      </w:r>
      <w:r w:rsidR="00000000">
        <w:rPr>
          <w:rFonts w:ascii="Times New Roman" w:hAnsi="Times New Roman"/>
          <w:color w:val="0000FF"/>
        </w:rPr>
        <w:t xml:space="preserve">When specifically evaluating GHG emissions in a LCA study, the following aspects can be part of the analysis: carbon sequestration, energy use, fertilizer and pesticide emissions, water use and emissions, methane emissions, changes in land use, and carbon footprint </w:t>
      </w:r>
      <w:r w:rsidR="00000000">
        <w:rPr>
          <w:rFonts w:ascii="Times New Roman" w:hAnsi="Times New Roman"/>
          <w:color w:val="0000FF"/>
        </w:rPr>
        <w:t>reduction strategies. These aspects will be covered herein. The amount of safflower seeds produced in the June–September 2022 cycle was 1185 kg. Table 2 shows the GHG emissions obtained after selection of the appropriate representative processes and introduction of the material and energy flows associated with one cycle of safflower production. Values in bold refer to the total emissions per phase. Considering the production of 1185 kg of safflower seeds, the specific emissions per kg of safflower seed produced are 0.4882 kg CO2- Eq. (578.49 divided by 1185 kg). When analyzing the emissions per production phase, the highestemission are associated with the preparation of soil (322.8 kg CO2-eq, which corresponds to 55.8% of overallemissions), followed by water consumption (115.52 kgCO2-eq, 19.96%), fertilization (109.16 kg CO2-eq, 18.86%), the harvest of seeds (23.52 kg CO2-eq, 4.06%), and finallythe material composition of the irrigation system (7.50 kgCO2-eq, 1.29%). Figure 3 summarizes the breakdown ofemissions associated with one cycle of safflower cultivation.</w:t>
      </w:r>
    </w:p>
    <w:p w14:paraId="2ED5EC94" w14:textId="77777777" w:rsidR="00670C2A" w:rsidRPr="00E80702" w:rsidRDefault="00000000">
      <w:pPr>
        <w:pBdr>
          <w:top w:val="single" w:sz="8" w:space="0" w:color="000000"/>
          <w:left w:val="single" w:sz="8" w:space="4" w:color="000000"/>
          <w:bottom w:val="single" w:sz="8" w:space="0" w:color="000000"/>
          <w:right w:val="single" w:sz="8" w:space="4" w:color="000000"/>
        </w:pBdr>
        <w:shd w:val="clear" w:color="auto" w:fill="A1BC3C"/>
        <w:spacing w:before="100"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Conclusão</w:t>
      </w:r>
    </w:p>
    <w:p w14:paraId="5FE1C241" w14:textId="040982C8" w:rsidR="00670C2A" w:rsidRDefault="00000000" w:rsidP="00E80702">
      <w:pPr>
        <w:jc w:val="both"/>
        <w:rPr>
          <w:color w:val="0000FF"/>
        </w:rPr>
      </w:pPr>
      <w:r w:rsidRPr="00E80702">
        <w:rPr>
          <w:rFonts w:ascii="Times New Roman" w:hAnsi="Times New Roman"/>
          <w:color w:val="FF0000"/>
          <w:lang w:val="pt-BR"/>
        </w:rPr>
        <w:t xml:space="preserve">Times New Roman, </w:t>
      </w:r>
      <w:r w:rsidR="00E80702">
        <w:rPr>
          <w:rFonts w:ascii="Times New Roman" w:hAnsi="Times New Roman"/>
          <w:color w:val="FF0000"/>
          <w:lang w:val="pt-BR"/>
        </w:rPr>
        <w:t xml:space="preserve">cor preta, </w:t>
      </w:r>
      <w:r w:rsidRPr="00E80702">
        <w:rPr>
          <w:rFonts w:ascii="Times New Roman" w:hAnsi="Times New Roman"/>
          <w:color w:val="FF0000"/>
          <w:lang w:val="pt-BR"/>
        </w:rPr>
        <w:t xml:space="preserve">tamanho 10, justificado, máximo 100 palavras. </w:t>
      </w:r>
      <w:r>
        <w:rPr>
          <w:rFonts w:ascii="Times New Roman" w:hAnsi="Times New Roman"/>
          <w:color w:val="0000FF"/>
        </w:rPr>
        <w:t>Life Cycle Assessment (LCA) is a consolidated, state of the art methodology to quantify the environmental impacts associated with products, processes, and activities. LCA has been standardized by the International Organization for Standardization (ISO) in its standards ISO.</w:t>
      </w:r>
    </w:p>
    <w:p w14:paraId="72E6254E" w14:textId="77777777" w:rsidR="00670C2A" w:rsidRPr="00E80702" w:rsidRDefault="00000000">
      <w:pPr>
        <w:pBdr>
          <w:top w:val="single" w:sz="8" w:space="0" w:color="000000"/>
          <w:left w:val="single" w:sz="8" w:space="4" w:color="000000"/>
          <w:bottom w:val="single" w:sz="8" w:space="0" w:color="000000"/>
          <w:right w:val="single" w:sz="8" w:space="4" w:color="000000"/>
        </w:pBdr>
        <w:shd w:val="clear" w:color="auto" w:fill="A1BC3C"/>
        <w:spacing w:before="100"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Agradecimentos</w:t>
      </w:r>
    </w:p>
    <w:p w14:paraId="02321E8C" w14:textId="30D80CD4" w:rsidR="00670C2A" w:rsidRPr="00E80702" w:rsidRDefault="00000000">
      <w:pPr>
        <w:ind w:firstLine="709"/>
        <w:jc w:val="both"/>
        <w:rPr>
          <w:rFonts w:ascii="Times New Roman" w:hAnsi="Times New Roman"/>
          <w:color w:val="FF0000"/>
          <w:lang w:val="pt-BR"/>
        </w:rPr>
      </w:pPr>
      <w:r w:rsidRPr="00E80702">
        <w:rPr>
          <w:rFonts w:ascii="Times New Roman" w:hAnsi="Times New Roman"/>
          <w:lang w:val="pt-BR"/>
        </w:rPr>
        <w:t xml:space="preserve">NUPPRAR, IQ/UFRN, UFRN, Fapesq-PB, UFPB, MCTI, MDA. </w:t>
      </w:r>
      <w:r w:rsidR="00E80702" w:rsidRPr="00E80702">
        <w:rPr>
          <w:rFonts w:ascii="Times New Roman" w:hAnsi="Times New Roman"/>
          <w:color w:val="FF0000"/>
          <w:lang w:val="pt-BR"/>
        </w:rPr>
        <w:t xml:space="preserve">Fonte </w:t>
      </w:r>
      <w:r w:rsidRPr="00E80702">
        <w:rPr>
          <w:rFonts w:ascii="Times New Roman" w:hAnsi="Times New Roman"/>
          <w:color w:val="FF0000"/>
          <w:lang w:val="pt-BR"/>
        </w:rPr>
        <w:t>Times New Roman,</w:t>
      </w:r>
      <w:r w:rsidR="00E80702">
        <w:rPr>
          <w:rFonts w:ascii="Times New Roman" w:hAnsi="Times New Roman"/>
          <w:color w:val="FF0000"/>
          <w:lang w:val="pt-BR"/>
        </w:rPr>
        <w:t xml:space="preserve"> cor preta,</w:t>
      </w:r>
      <w:r w:rsidRPr="00E80702">
        <w:rPr>
          <w:rFonts w:ascii="Times New Roman" w:hAnsi="Times New Roman"/>
          <w:color w:val="FF0000"/>
          <w:lang w:val="pt-BR"/>
        </w:rPr>
        <w:t xml:space="preserve"> tamanho 10, justificado.</w:t>
      </w:r>
    </w:p>
    <w:p w14:paraId="57CA820D" w14:textId="77777777" w:rsidR="00670C2A" w:rsidRPr="00E80702" w:rsidRDefault="00000000">
      <w:pPr>
        <w:ind w:firstLine="567"/>
        <w:jc w:val="both"/>
        <w:rPr>
          <w:lang w:val="pt-BR"/>
        </w:rPr>
      </w:pPr>
      <w:r w:rsidRPr="00E80702">
        <w:rPr>
          <w:lang w:val="pt-BR"/>
        </w:rPr>
        <w:t>.</w:t>
      </w:r>
    </w:p>
    <w:p w14:paraId="0EEC187A" w14:textId="77777777" w:rsidR="00670C2A" w:rsidRPr="00E80702" w:rsidRDefault="00000000">
      <w:pPr>
        <w:pBdr>
          <w:top w:val="single" w:sz="8" w:space="0" w:color="000000"/>
          <w:left w:val="single" w:sz="8" w:space="4" w:color="000000"/>
          <w:bottom w:val="single" w:sz="8" w:space="0" w:color="000000"/>
          <w:right w:val="single" w:sz="8" w:space="4" w:color="000000"/>
          <w:between w:val="nil"/>
        </w:pBdr>
        <w:shd w:val="clear" w:color="auto" w:fill="A1BC3C"/>
        <w:spacing w:before="100" w:after="100"/>
        <w:ind w:left="85" w:right="130"/>
        <w:jc w:val="center"/>
        <w:rPr>
          <w:rFonts w:ascii="Times New Roman" w:hAnsi="Times New Roman"/>
          <w:b/>
          <w:sz w:val="24"/>
          <w:szCs w:val="24"/>
          <w:lang w:val="pt-BR"/>
        </w:rPr>
      </w:pPr>
      <w:r w:rsidRPr="00E80702">
        <w:rPr>
          <w:rFonts w:ascii="Times New Roman" w:hAnsi="Times New Roman"/>
          <w:b/>
          <w:sz w:val="24"/>
          <w:szCs w:val="24"/>
          <w:lang w:val="pt-BR"/>
        </w:rPr>
        <w:t>Referências bibliográfica</w:t>
      </w:r>
    </w:p>
    <w:p w14:paraId="1273AC15" w14:textId="77777777" w:rsidR="00670C2A" w:rsidRPr="00E80702" w:rsidRDefault="00000000">
      <w:pPr>
        <w:shd w:val="clear" w:color="auto" w:fill="FFFFFF"/>
        <w:spacing w:after="200"/>
        <w:jc w:val="both"/>
        <w:rPr>
          <w:rFonts w:ascii="Times New Roman" w:hAnsi="Times New Roman"/>
          <w:color w:val="FF0000"/>
          <w:lang w:val="pt-BR"/>
        </w:rPr>
      </w:pPr>
      <w:r w:rsidRPr="00E80702">
        <w:rPr>
          <w:rFonts w:ascii="Times New Roman" w:hAnsi="Times New Roman"/>
          <w:color w:val="FF0000"/>
          <w:lang w:val="pt-BR"/>
        </w:rPr>
        <w:t xml:space="preserve">Seguir a ordem numérica sequencial de citações no </w:t>
      </w:r>
      <w:proofErr w:type="gramStart"/>
      <w:r w:rsidRPr="00E80702">
        <w:rPr>
          <w:rFonts w:ascii="Times New Roman" w:hAnsi="Times New Roman"/>
          <w:color w:val="FF0000"/>
          <w:lang w:val="pt-BR"/>
        </w:rPr>
        <w:t>texto .</w:t>
      </w:r>
      <w:proofErr w:type="gramEnd"/>
      <w:r w:rsidRPr="00E80702">
        <w:rPr>
          <w:rFonts w:ascii="Times New Roman" w:hAnsi="Times New Roman"/>
          <w:color w:val="FF0000"/>
          <w:lang w:val="pt-BR"/>
        </w:rPr>
        <w:t xml:space="preserve"> </w:t>
      </w:r>
    </w:p>
    <w:p w14:paraId="7A9D5819" w14:textId="77777777" w:rsidR="00670C2A" w:rsidRDefault="00000000">
      <w:pPr>
        <w:shd w:val="clear" w:color="auto" w:fill="FFFFFF"/>
        <w:spacing w:after="200"/>
        <w:jc w:val="both"/>
        <w:rPr>
          <w:rFonts w:ascii="Times New Roman" w:hAnsi="Times New Roman"/>
          <w:color w:val="0000FF"/>
          <w:sz w:val="16"/>
          <w:szCs w:val="16"/>
        </w:rPr>
      </w:pPr>
      <w:r>
        <w:rPr>
          <w:rFonts w:ascii="Times New Roman" w:hAnsi="Times New Roman"/>
          <w:color w:val="0000FF"/>
          <w:sz w:val="16"/>
          <w:szCs w:val="16"/>
        </w:rPr>
        <w:t>1 Moeller D, Sieverding HL, Stone JJ (2017) Comparative farm-gate life cycle assessment of oilseed feedstocks in the Northern great plains. BioPhys Econ Resour Quality 2:1–16</w:t>
      </w:r>
    </w:p>
    <w:p w14:paraId="0456D9DA" w14:textId="6B70E01A" w:rsidR="00670C2A" w:rsidRPr="00E80702" w:rsidRDefault="00000000">
      <w:pPr>
        <w:shd w:val="clear" w:color="auto" w:fill="FFFFFF"/>
        <w:spacing w:after="200"/>
        <w:jc w:val="both"/>
        <w:rPr>
          <w:rFonts w:ascii="Times New Roman" w:hAnsi="Times New Roman"/>
          <w:color w:val="0000FF"/>
          <w:sz w:val="16"/>
          <w:szCs w:val="16"/>
        </w:rPr>
      </w:pPr>
      <w:r>
        <w:rPr>
          <w:rFonts w:ascii="Times New Roman" w:hAnsi="Times New Roman"/>
          <w:color w:val="0000FF"/>
          <w:sz w:val="16"/>
          <w:szCs w:val="16"/>
        </w:rPr>
        <w:t>2 Monte DM, Cruz PL, Dufour J (2022) SAF production from cameline oil hydrotreatment: a technoeconomic assessment of alternative process configurations. Fuel 324:124602</w:t>
      </w:r>
      <w:bookmarkStart w:id="1" w:name="_heading=h.30j0zll" w:colFirst="0" w:colLast="0"/>
      <w:bookmarkEnd w:id="1"/>
    </w:p>
    <w:sectPr w:rsidR="00670C2A" w:rsidRPr="00E80702">
      <w:type w:val="continuous"/>
      <w:pgSz w:w="11906" w:h="16838"/>
      <w:pgMar w:top="676" w:right="851" w:bottom="1134" w:left="1134" w:header="619" w:footer="624" w:gutter="0"/>
      <w:cols w:num="2" w:space="720" w:equalWidth="0">
        <w:col w:w="4818" w:space="284"/>
        <w:col w:w="481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6DFE2" w14:textId="77777777" w:rsidR="00A9300D" w:rsidRDefault="00A9300D">
      <w:r>
        <w:separator/>
      </w:r>
    </w:p>
  </w:endnote>
  <w:endnote w:type="continuationSeparator" w:id="0">
    <w:p w14:paraId="2D71F968" w14:textId="77777777" w:rsidR="00A9300D" w:rsidRDefault="00A9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charset w:val="00"/>
    <w:family w:val="auto"/>
    <w:pitch w:val="default"/>
    <w:embedRegular r:id="rId1" w:fontKey="{20D3AB90-A1BA-4C9D-9195-A674CDB22562}"/>
  </w:font>
  <w:font w:name="Helvetica">
    <w:panose1 w:val="020B0604020202020204"/>
    <w:charset w:val="00"/>
    <w:family w:val="swiss"/>
    <w:pitch w:val="variable"/>
    <w:sig w:usb0="E0002EFF" w:usb1="C000785B" w:usb2="00000009" w:usb3="00000000" w:csb0="000001FF" w:csb1="00000000"/>
    <w:embedRegular r:id="rId2" w:fontKey="{C6C8E884-0845-47DB-85E2-73A682522D1F}"/>
    <w:embedBold r:id="rId3" w:fontKey="{E3C7AB59-4257-4C9D-BB0E-13A0F12D8C04}"/>
    <w:embedItalic r:id="rId4" w:fontKey="{F4C2CA8D-2632-42F6-BEAA-89D92A6C239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embedRegular r:id="rId5" w:fontKey="{A97E12CE-1005-471F-B36F-A3467BFDEE3A}"/>
  </w:font>
  <w:font w:name="Times">
    <w:panose1 w:val="02020603050405020304"/>
    <w:charset w:val="00"/>
    <w:family w:val="roman"/>
    <w:pitch w:val="variable"/>
    <w:sig w:usb0="E0002EFF" w:usb1="C000785B" w:usb2="00000009" w:usb3="00000000" w:csb0="000001FF" w:csb1="00000000"/>
    <w:embedRegular r:id="rId6" w:fontKey="{697C50B5-F1DD-4E8D-9216-BEF7C14B8471}"/>
    <w:embedItalic r:id="rId7" w:fontKey="{D1890DF4-C6B3-44A0-9257-23F2617A3679}"/>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63EC0F67-BC2A-4654-B3A5-53AC52E921C1}"/>
    <w:embedItalic r:id="rId9" w:fontKey="{97D2E940-890E-47EC-AE25-5211A5AEBCDB}"/>
  </w:font>
  <w:font w:name="Cambria">
    <w:panose1 w:val="02040503050406030204"/>
    <w:charset w:val="00"/>
    <w:family w:val="roman"/>
    <w:pitch w:val="variable"/>
    <w:sig w:usb0="E00006FF" w:usb1="420024FF" w:usb2="02000000" w:usb3="00000000" w:csb0="0000019F" w:csb1="00000000"/>
    <w:embedRegular r:id="rId10" w:fontKey="{3110BA78-A17C-4693-AE41-C63F96A61D6C}"/>
  </w:font>
  <w:font w:name="Calibri">
    <w:panose1 w:val="020F0502020204030204"/>
    <w:charset w:val="00"/>
    <w:family w:val="swiss"/>
    <w:pitch w:val="variable"/>
    <w:sig w:usb0="E4002EFF" w:usb1="C200247B" w:usb2="00000009" w:usb3="00000000" w:csb0="000001FF" w:csb1="00000000"/>
    <w:embedRegular r:id="rId11" w:fontKey="{D6822DC3-9593-4561-8269-4DA485CFE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FA6ED" w14:textId="77777777" w:rsidR="00670C2A" w:rsidRPr="00E80702" w:rsidRDefault="00000000">
    <w:pPr>
      <w:pBdr>
        <w:top w:val="nil"/>
        <w:left w:val="nil"/>
        <w:bottom w:val="nil"/>
        <w:right w:val="nil"/>
        <w:between w:val="nil"/>
      </w:pBdr>
      <w:tabs>
        <w:tab w:val="center" w:pos="4320"/>
        <w:tab w:val="right" w:pos="8640"/>
      </w:tabs>
      <w:jc w:val="center"/>
      <w:rPr>
        <w:rFonts w:ascii="Times New Roman" w:hAnsi="Times New Roman"/>
        <w:b/>
        <w:color w:val="000000"/>
        <w:sz w:val="18"/>
        <w:szCs w:val="18"/>
        <w:lang w:val="pt-BR"/>
      </w:rPr>
    </w:pPr>
    <w:r w:rsidRPr="00E80702">
      <w:rPr>
        <w:rFonts w:ascii="Times New Roman" w:hAnsi="Times New Roman"/>
        <w:b/>
        <w:sz w:val="18"/>
        <w:szCs w:val="18"/>
        <w:lang w:val="pt-BR"/>
      </w:rPr>
      <w:t>Natal</w:t>
    </w:r>
    <w:r w:rsidRPr="00E80702">
      <w:rPr>
        <w:rFonts w:ascii="Times New Roman" w:hAnsi="Times New Roman"/>
        <w:b/>
        <w:color w:val="000000"/>
        <w:sz w:val="18"/>
        <w:szCs w:val="18"/>
        <w:lang w:val="pt-BR"/>
      </w:rPr>
      <w:t xml:space="preserve">, </w:t>
    </w:r>
    <w:r w:rsidRPr="00E80702">
      <w:rPr>
        <w:rFonts w:ascii="Times New Roman" w:hAnsi="Times New Roman"/>
        <w:b/>
        <w:sz w:val="18"/>
        <w:szCs w:val="18"/>
        <w:lang w:val="pt-BR"/>
      </w:rPr>
      <w:t>RN</w:t>
    </w:r>
  </w:p>
  <w:p w14:paraId="2DB39F5A" w14:textId="236CB358" w:rsidR="00670C2A" w:rsidRPr="00E80702" w:rsidRDefault="00000000">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lang w:val="pt-BR"/>
      </w:rPr>
    </w:pPr>
    <w:r w:rsidRPr="00E80702">
      <w:rPr>
        <w:rFonts w:ascii="Times New Roman" w:hAnsi="Times New Roman"/>
        <w:b/>
        <w:sz w:val="18"/>
        <w:szCs w:val="18"/>
        <w:lang w:val="pt-BR"/>
      </w:rPr>
      <w:t>16 a 1</w:t>
    </w:r>
    <w:r w:rsidR="00E80702">
      <w:rPr>
        <w:rFonts w:ascii="Times New Roman" w:hAnsi="Times New Roman"/>
        <w:b/>
        <w:sz w:val="18"/>
        <w:szCs w:val="18"/>
        <w:lang w:val="pt-BR"/>
      </w:rPr>
      <w:t>8</w:t>
    </w:r>
    <w:r w:rsidRPr="00E80702">
      <w:rPr>
        <w:rFonts w:ascii="Times New Roman" w:hAnsi="Times New Roman"/>
        <w:b/>
        <w:sz w:val="18"/>
        <w:szCs w:val="18"/>
        <w:lang w:val="pt-BR"/>
      </w:rPr>
      <w:t xml:space="preserve"> de </w:t>
    </w:r>
    <w:r w:rsidR="00E80702">
      <w:rPr>
        <w:rFonts w:ascii="Times New Roman" w:hAnsi="Times New Roman"/>
        <w:b/>
        <w:sz w:val="18"/>
        <w:szCs w:val="18"/>
        <w:lang w:val="pt-BR"/>
      </w:rPr>
      <w:t>o</w:t>
    </w:r>
    <w:r w:rsidRPr="00E80702">
      <w:rPr>
        <w:rFonts w:ascii="Times New Roman" w:hAnsi="Times New Roman"/>
        <w:b/>
        <w:sz w:val="18"/>
        <w:szCs w:val="18"/>
        <w:lang w:val="pt-BR"/>
      </w:rPr>
      <w:t>utubro de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0AD1A" w14:textId="77777777" w:rsidR="00A9300D" w:rsidRDefault="00A9300D">
      <w:r>
        <w:separator/>
      </w:r>
    </w:p>
  </w:footnote>
  <w:footnote w:type="continuationSeparator" w:id="0">
    <w:p w14:paraId="2969A724" w14:textId="77777777" w:rsidR="00A9300D" w:rsidRDefault="00A93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87E26" w14:textId="77777777" w:rsidR="00670C2A" w:rsidRDefault="00000000">
    <w:pPr>
      <w:pBdr>
        <w:top w:val="nil"/>
        <w:left w:val="nil"/>
        <w:bottom w:val="nil"/>
        <w:right w:val="nil"/>
        <w:between w:val="nil"/>
      </w:pBdr>
      <w:tabs>
        <w:tab w:val="center" w:pos="4320"/>
        <w:tab w:val="right" w:pos="8640"/>
      </w:tabs>
      <w:jc w:val="center"/>
      <w:rPr>
        <w:rFonts w:ascii="Times New Roman" w:hAnsi="Times New Roman"/>
        <w:b/>
        <w:smallCaps/>
        <w:color w:val="000000"/>
      </w:rPr>
    </w:pPr>
    <w:r>
      <w:rPr>
        <w:rFonts w:ascii="Times New Roman" w:hAnsi="Times New Roman"/>
        <w:b/>
        <w:smallCaps/>
        <w:noProof/>
      </w:rPr>
      <w:drawing>
        <wp:anchor distT="114300" distB="114300" distL="114300" distR="114300" simplePos="0" relativeHeight="251658240" behindDoc="1" locked="0" layoutInCell="1" hidden="0" allowOverlap="1" wp14:anchorId="65BE7539" wp14:editId="56A3E7A5">
          <wp:simplePos x="0" y="0"/>
          <wp:positionH relativeFrom="page">
            <wp:posOffset>755178</wp:posOffset>
          </wp:positionH>
          <wp:positionV relativeFrom="page">
            <wp:posOffset>38100</wp:posOffset>
          </wp:positionV>
          <wp:extent cx="6229350" cy="868627"/>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alphaModFix amt="71000"/>
                  </a:blip>
                  <a:srcRect t="26731" r="18011"/>
                  <a:stretch>
                    <a:fillRect/>
                  </a:stretch>
                </pic:blipFill>
                <pic:spPr>
                  <a:xfrm>
                    <a:off x="0" y="0"/>
                    <a:ext cx="6229350" cy="868627"/>
                  </a:xfrm>
                  <a:prstGeom prst="rect">
                    <a:avLst/>
                  </a:prstGeom>
                  <a:ln/>
                </pic:spPr>
              </pic:pic>
            </a:graphicData>
          </a:graphic>
        </wp:anchor>
      </w:drawing>
    </w:r>
  </w:p>
  <w:p w14:paraId="316C57A4" w14:textId="77777777" w:rsidR="00670C2A" w:rsidRDefault="00670C2A">
    <w:pPr>
      <w:pBdr>
        <w:top w:val="nil"/>
        <w:left w:val="nil"/>
        <w:bottom w:val="nil"/>
        <w:right w:val="nil"/>
        <w:between w:val="nil"/>
      </w:pBdr>
      <w:tabs>
        <w:tab w:val="center" w:pos="4320"/>
        <w:tab w:val="right" w:pos="8640"/>
      </w:tabs>
      <w:jc w:val="center"/>
      <w:rPr>
        <w:rFonts w:ascii="Times New Roman" w:hAnsi="Times New Roman"/>
        <w:b/>
        <w:sz w:val="22"/>
        <w:szCs w:val="22"/>
      </w:rPr>
    </w:pPr>
  </w:p>
  <w:p w14:paraId="246AEE45" w14:textId="77777777" w:rsidR="00670C2A" w:rsidRDefault="00670C2A">
    <w:pPr>
      <w:pBdr>
        <w:top w:val="nil"/>
        <w:left w:val="nil"/>
        <w:bottom w:val="nil"/>
        <w:right w:val="nil"/>
        <w:between w:val="nil"/>
      </w:pBdr>
      <w:tabs>
        <w:tab w:val="center" w:pos="4320"/>
        <w:tab w:val="right" w:pos="8640"/>
      </w:tabs>
      <w:jc w:val="center"/>
      <w:rPr>
        <w:rFonts w:ascii="Times New Roman" w:hAnsi="Times New Roman"/>
        <w:b/>
        <w:sz w:val="22"/>
        <w:szCs w:val="22"/>
      </w:rPr>
    </w:pPr>
  </w:p>
  <w:p w14:paraId="35438FAE" w14:textId="77777777" w:rsidR="00670C2A" w:rsidRDefault="00670C2A">
    <w:pPr>
      <w:pBdr>
        <w:top w:val="nil"/>
        <w:left w:val="nil"/>
        <w:bottom w:val="nil"/>
        <w:right w:val="nil"/>
        <w:between w:val="nil"/>
      </w:pBdr>
      <w:tabs>
        <w:tab w:val="center" w:pos="4320"/>
        <w:tab w:val="right" w:pos="8640"/>
      </w:tabs>
      <w:jc w:val="center"/>
      <w:rPr>
        <w:rFonts w:ascii="Times New Roman" w:hAnsi="Times New Roman"/>
        <w:b/>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C2A"/>
    <w:rsid w:val="00670C2A"/>
    <w:rsid w:val="00A9300D"/>
    <w:rsid w:val="00E807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3B8BB"/>
  <w15:docId w15:val="{D9709AB2-7090-4DEA-84AD-F7952148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ascii="Helvetica" w:eastAsia="Times New Roman" w:hAnsi="Helvetica" w:cs="Times New Roman"/>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spacing w:before="240" w:after="60"/>
      <w:jc w:val="both"/>
      <w:outlineLvl w:val="1"/>
    </w:pPr>
    <w:rPr>
      <w:rFonts w:ascii="Arial" w:hAnsi="Arial" w:cs="Arial"/>
      <w:b/>
      <w:bCs/>
      <w:i/>
      <w:iCs/>
    </w:rPr>
  </w:style>
  <w:style w:type="paragraph" w:styleId="Ttulo3">
    <w:name w:val="heading 3"/>
    <w:basedOn w:val="Normal"/>
    <w:next w:val="Normal"/>
    <w:uiPriority w:val="9"/>
    <w:semiHidden/>
    <w:unhideWhenUsed/>
    <w:qFormat/>
    <w:pPr>
      <w:keepNext/>
      <w:spacing w:before="240" w:after="60"/>
      <w:jc w:val="both"/>
      <w:outlineLvl w:val="2"/>
    </w:pPr>
    <w:rPr>
      <w:rFonts w:ascii="Arial" w:hAnsi="Arial" w:cs="Arial"/>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ncoradanotadefim">
    <w:name w:val="Âncora da nota de fim"/>
    <w:rPr>
      <w:vertAlign w:val="superscript"/>
    </w:rPr>
  </w:style>
  <w:style w:type="character" w:customStyle="1" w:styleId="EndnoteCharacters">
    <w:name w:val="Endnote Characters"/>
    <w:semiHidden/>
    <w:qFormat/>
    <w:rPr>
      <w:vertAlign w:val="superscript"/>
    </w:rPr>
  </w:style>
  <w:style w:type="character" w:customStyle="1" w:styleId="ncoradanotaderodap">
    <w:name w:val="Âncora da nota de rodapé"/>
    <w:rPr>
      <w:vertAlign w:val="superscript"/>
    </w:rPr>
  </w:style>
  <w:style w:type="character" w:customStyle="1" w:styleId="FootnoteCharacters">
    <w:name w:val="Footnote Characters"/>
    <w:semiHidden/>
    <w:qFormat/>
    <w:rPr>
      <w:vertAlign w:val="superscript"/>
    </w:rPr>
  </w:style>
  <w:style w:type="character" w:customStyle="1" w:styleId="LinkdaInternet">
    <w:name w:val="Link da Internet"/>
    <w:rPr>
      <w:color w:val="0000FF"/>
      <w:u w:val="single"/>
    </w:rPr>
  </w:style>
  <w:style w:type="character" w:customStyle="1" w:styleId="Linkdainternetvisitado">
    <w:name w:val="Link da internet visitado"/>
    <w:rPr>
      <w:color w:val="800080"/>
      <w:u w:val="single"/>
    </w:rPr>
  </w:style>
  <w:style w:type="character" w:styleId="Nmerodepgina">
    <w:name w:val="page number"/>
    <w:basedOn w:val="Fontepargpadro"/>
    <w:qFormat/>
  </w:style>
  <w:style w:type="character" w:customStyle="1" w:styleId="TextodebaloChar">
    <w:name w:val="Texto de balão Char"/>
    <w:link w:val="Textodebalo"/>
    <w:qFormat/>
    <w:rsid w:val="00D80366"/>
    <w:rPr>
      <w:rFonts w:ascii="Segoe UI" w:hAnsi="Segoe UI" w:cs="Segoe UI"/>
      <w:sz w:val="18"/>
      <w:szCs w:val="18"/>
      <w:lang w:val="en-US" w:eastAsia="en-US"/>
    </w:rPr>
  </w:style>
  <w:style w:type="character" w:customStyle="1" w:styleId="object">
    <w:name w:val="object"/>
    <w:qFormat/>
    <w:rsid w:val="005B49E2"/>
  </w:style>
  <w:style w:type="character" w:styleId="Forte">
    <w:name w:val="Strong"/>
    <w:basedOn w:val="Fontepargpadro"/>
    <w:uiPriority w:val="22"/>
    <w:qFormat/>
    <w:rsid w:val="00C34F81"/>
    <w:rPr>
      <w:b/>
      <w:bCs/>
    </w:rPr>
  </w:style>
  <w:style w:type="character" w:customStyle="1" w:styleId="CabealhoChar">
    <w:name w:val="Cabeçalho Char"/>
    <w:basedOn w:val="Fontepargpadro"/>
    <w:link w:val="Cabealho"/>
    <w:uiPriority w:val="99"/>
    <w:qFormat/>
    <w:rsid w:val="004E2897"/>
    <w:rPr>
      <w:rFonts w:ascii="Helvetica" w:hAnsi="Helvetica" w:cs="Helvetica"/>
      <w:lang w:val="en-US" w:eastAsia="en-US"/>
    </w:rPr>
  </w:style>
  <w:style w:type="character" w:customStyle="1" w:styleId="TextodeEspaoReservado">
    <w:name w:val="Texto de Espaço Reservado"/>
    <w:basedOn w:val="Fontepargpadro"/>
    <w:uiPriority w:val="99"/>
    <w:semiHidden/>
    <w:qFormat/>
    <w:rsid w:val="004E2897"/>
    <w:rPr>
      <w:color w:val="808080"/>
    </w:rPr>
  </w:style>
  <w:style w:type="paragraph" w:styleId="Corpodetexto">
    <w:name w:val="Body Text"/>
    <w:basedOn w:val="Normal"/>
    <w:pPr>
      <w:jc w:val="both"/>
    </w:pPr>
    <w:rPr>
      <w:rFonts w:cs="Helvetica"/>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notaderodap">
    <w:name w:val="footnote text"/>
    <w:basedOn w:val="TFReferencesSection"/>
    <w:next w:val="TFReferencesSection"/>
    <w:semiHidden/>
  </w:style>
  <w:style w:type="paragraph" w:customStyle="1" w:styleId="TFReferencesSection">
    <w:name w:val="TF_References_Section"/>
    <w:basedOn w:val="Normal"/>
    <w:qFormat/>
    <w:pPr>
      <w:spacing w:line="170" w:lineRule="exact"/>
      <w:ind w:firstLine="187"/>
      <w:jc w:val="both"/>
    </w:pPr>
    <w:rPr>
      <w:rFonts w:ascii="Times" w:hAnsi="Times" w:cs="Times"/>
      <w:sz w:val="16"/>
      <w:szCs w:val="16"/>
    </w:rPr>
  </w:style>
  <w:style w:type="paragraph" w:customStyle="1" w:styleId="TAMainText">
    <w:name w:val="TA_Main_Text"/>
    <w:basedOn w:val="Normal"/>
    <w:qFormat/>
    <w:pPr>
      <w:spacing w:line="240" w:lineRule="exact"/>
      <w:ind w:firstLine="202"/>
      <w:jc w:val="both"/>
    </w:pPr>
    <w:rPr>
      <w:rFonts w:ascii="Times" w:hAnsi="Times" w:cs="Times"/>
    </w:rPr>
  </w:style>
  <w:style w:type="paragraph" w:customStyle="1" w:styleId="BATitle">
    <w:name w:val="BA_Title"/>
    <w:basedOn w:val="Normal"/>
    <w:next w:val="BBAuthorName"/>
    <w:qFormat/>
    <w:pPr>
      <w:spacing w:before="720" w:after="240" w:line="480" w:lineRule="exact"/>
      <w:ind w:right="3024"/>
    </w:pPr>
    <w:rPr>
      <w:rFonts w:cs="Helvetica"/>
      <w:b/>
      <w:bCs/>
      <w:sz w:val="44"/>
      <w:szCs w:val="44"/>
    </w:rPr>
  </w:style>
  <w:style w:type="paragraph" w:customStyle="1" w:styleId="BBAuthorName">
    <w:name w:val="BB_Author_Name"/>
    <w:basedOn w:val="Normal"/>
    <w:next w:val="BCAuthorAddress"/>
    <w:qFormat/>
    <w:pPr>
      <w:spacing w:after="240" w:line="240" w:lineRule="exact"/>
      <w:ind w:right="3024"/>
    </w:pPr>
    <w:rPr>
      <w:rFonts w:cs="Helvetica"/>
      <w:b/>
      <w:bCs/>
      <w:sz w:val="22"/>
      <w:szCs w:val="22"/>
    </w:rPr>
  </w:style>
  <w:style w:type="paragraph" w:customStyle="1" w:styleId="BCAuthorAddress">
    <w:name w:val="BC_Author_Address"/>
    <w:basedOn w:val="Normal"/>
    <w:next w:val="BIEmailAddress"/>
    <w:qFormat/>
    <w:pPr>
      <w:spacing w:after="120" w:line="240" w:lineRule="exact"/>
      <w:ind w:right="3024"/>
    </w:pPr>
    <w:rPr>
      <w:rFonts w:ascii="Times" w:hAnsi="Times" w:cs="Times"/>
      <w:i/>
      <w:iCs/>
    </w:rPr>
  </w:style>
  <w:style w:type="paragraph" w:customStyle="1" w:styleId="BIEmailAddress">
    <w:name w:val="BI_Email_Address"/>
    <w:next w:val="AIReceive03"/>
    <w:qFormat/>
    <w:pPr>
      <w:spacing w:after="120" w:line="240" w:lineRule="exact"/>
      <w:ind w:right="3024"/>
      <w:textAlignment w:val="baseline"/>
    </w:pPr>
    <w:rPr>
      <w:rFonts w:ascii="Times" w:eastAsia="Times New Roman" w:hAnsi="Times" w:cs="Times"/>
      <w:i/>
      <w:iCs/>
      <w:lang w:val="en-US" w:eastAsia="en-US"/>
    </w:rPr>
  </w:style>
  <w:style w:type="paragraph" w:customStyle="1" w:styleId="AIReceive03">
    <w:name w:val="AI_Receive03"/>
    <w:basedOn w:val="Normal"/>
    <w:next w:val="Absbox"/>
    <w:qFormat/>
    <w:pPr>
      <w:spacing w:after="600" w:line="240" w:lineRule="exact"/>
      <w:ind w:right="3024"/>
    </w:pPr>
    <w:rPr>
      <w:rFonts w:cs="Helvetica"/>
      <w:b/>
      <w:bCs/>
      <w:sz w:val="18"/>
      <w:szCs w:val="18"/>
    </w:rPr>
  </w:style>
  <w:style w:type="paragraph" w:customStyle="1" w:styleId="Absbox">
    <w:name w:val="Absbox"/>
    <w:basedOn w:val="BDAbstract"/>
    <w:qFormat/>
    <w:pPr>
      <w:pBdr>
        <w:top w:val="single" w:sz="6" w:space="0" w:color="800000"/>
        <w:left w:val="single" w:sz="6" w:space="4" w:color="800000"/>
        <w:bottom w:val="single" w:sz="6" w:space="0" w:color="800000"/>
        <w:right w:val="single" w:sz="6" w:space="4" w:color="800000"/>
      </w:pBdr>
      <w:shd w:val="solid" w:color="800000" w:fill="800000"/>
      <w:spacing w:before="0" w:after="320"/>
      <w:ind w:left="86" w:right="130"/>
      <w:jc w:val="center"/>
    </w:pPr>
    <w:rPr>
      <w:color w:val="FFFFFF"/>
      <w:sz w:val="20"/>
      <w:szCs w:val="20"/>
    </w:rPr>
  </w:style>
  <w:style w:type="paragraph" w:customStyle="1" w:styleId="BDAbstract">
    <w:name w:val="BD_Abstract"/>
    <w:qFormat/>
    <w:pPr>
      <w:pBdr>
        <w:bottom w:val="single" w:sz="6" w:space="12" w:color="000000"/>
      </w:pBdr>
      <w:spacing w:before="200" w:after="200" w:line="220" w:lineRule="exact"/>
      <w:jc w:val="both"/>
      <w:textAlignment w:val="baseline"/>
    </w:pPr>
    <w:rPr>
      <w:rFonts w:ascii="Helvetica" w:eastAsia="Times New Roman" w:hAnsi="Helvetica" w:cs="Helvetica"/>
      <w:b/>
      <w:bCs/>
      <w:sz w:val="18"/>
      <w:szCs w:val="18"/>
      <w:lang w:val="en-US" w:eastAsia="en-US"/>
    </w:rPr>
  </w:style>
  <w:style w:type="paragraph" w:customStyle="1" w:styleId="TDAcknowledgments">
    <w:name w:val="TD_Acknowledgments"/>
    <w:basedOn w:val="Normal"/>
    <w:next w:val="TESupportingInformation"/>
    <w:qFormat/>
    <w:pPr>
      <w:spacing w:before="200" w:line="240" w:lineRule="exact"/>
      <w:ind w:firstLine="202"/>
      <w:jc w:val="both"/>
    </w:pPr>
    <w:rPr>
      <w:rFonts w:ascii="Times" w:hAnsi="Times" w:cs="Times"/>
    </w:rPr>
  </w:style>
  <w:style w:type="paragraph" w:customStyle="1" w:styleId="TESupportingInformation">
    <w:name w:val="TE_Supporting_Information"/>
    <w:basedOn w:val="Normal"/>
    <w:qFormat/>
    <w:pPr>
      <w:spacing w:before="200" w:line="240" w:lineRule="exact"/>
      <w:ind w:firstLine="187"/>
      <w:jc w:val="both"/>
    </w:pPr>
    <w:rPr>
      <w:rFonts w:ascii="Times" w:hAnsi="Times" w:cs="Times"/>
    </w:rPr>
  </w:style>
  <w:style w:type="paragraph" w:customStyle="1" w:styleId="VCSchemeTitle">
    <w:name w:val="VC_Scheme_Title"/>
    <w:basedOn w:val="Normal"/>
    <w:next w:val="Normal"/>
    <w:qFormat/>
    <w:pPr>
      <w:spacing w:after="240" w:line="200" w:lineRule="exact"/>
      <w:jc w:val="center"/>
    </w:pPr>
    <w:rPr>
      <w:rFonts w:ascii="Times" w:hAnsi="Times" w:cs="Times"/>
      <w:sz w:val="18"/>
      <w:szCs w:val="18"/>
    </w:rPr>
  </w:style>
  <w:style w:type="paragraph" w:customStyle="1" w:styleId="VDTableTitle">
    <w:name w:val="VD_Table_Title"/>
    <w:basedOn w:val="Normal"/>
    <w:next w:val="Normal"/>
    <w:qFormat/>
    <w:pPr>
      <w:spacing w:after="240" w:line="200" w:lineRule="exact"/>
    </w:pPr>
    <w:rPr>
      <w:rFonts w:ascii="Times" w:hAnsi="Times" w:cs="Times"/>
      <w:sz w:val="18"/>
      <w:szCs w:val="18"/>
    </w:rPr>
  </w:style>
  <w:style w:type="paragraph" w:customStyle="1" w:styleId="TCScheme08">
    <w:name w:val="TC_Scheme_08"/>
    <w:basedOn w:val="Normal"/>
    <w:qFormat/>
    <w:pPr>
      <w:spacing w:after="211" w:line="194" w:lineRule="exact"/>
    </w:pPr>
    <w:rPr>
      <w:rFonts w:cs="Helvetica"/>
      <w:sz w:val="19"/>
      <w:szCs w:val="19"/>
    </w:rPr>
  </w:style>
  <w:style w:type="paragraph" w:customStyle="1" w:styleId="VAFigureCaption">
    <w:name w:val="VA_Figure_Caption"/>
    <w:basedOn w:val="Normal"/>
    <w:next w:val="Normal"/>
    <w:qFormat/>
    <w:pPr>
      <w:spacing w:before="240" w:line="200" w:lineRule="exact"/>
      <w:jc w:val="both"/>
    </w:pPr>
    <w:rPr>
      <w:rFonts w:ascii="Times" w:hAnsi="Times" w:cs="Times"/>
      <w:sz w:val="18"/>
      <w:szCs w:val="18"/>
    </w:rPr>
  </w:style>
  <w:style w:type="paragraph" w:customStyle="1" w:styleId="bar">
    <w:name w:val="bar"/>
    <w:basedOn w:val="Normal"/>
    <w:next w:val="Normal"/>
    <w:qFormat/>
    <w:pPr>
      <w:shd w:val="solid" w:color="800000" w:fill="800000"/>
      <w:spacing w:before="360" w:after="80" w:line="220" w:lineRule="exact"/>
    </w:pPr>
    <w:rPr>
      <w:rFonts w:cs="Helvetica"/>
    </w:rPr>
  </w:style>
  <w:style w:type="paragraph" w:customStyle="1" w:styleId="thinbar">
    <w:name w:val="thinbar"/>
    <w:next w:val="TAMainText"/>
    <w:qFormat/>
    <w:pPr>
      <w:pBdr>
        <w:bottom w:val="single" w:sz="6" w:space="1" w:color="800000"/>
      </w:pBdr>
      <w:spacing w:before="240" w:after="300" w:line="20" w:lineRule="exact"/>
      <w:textAlignment w:val="baseline"/>
    </w:pPr>
    <w:rPr>
      <w:rFonts w:ascii="New York" w:eastAsia="Times New Roman" w:hAnsi="New York" w:cs="Times New Roman"/>
      <w:lang w:val="en-US" w:eastAsia="en-US"/>
    </w:rPr>
  </w:style>
  <w:style w:type="paragraph" w:customStyle="1" w:styleId="graphicbox">
    <w:name w:val="graphicbox"/>
    <w:basedOn w:val="Normal"/>
    <w:next w:val="BDAbstract"/>
    <w:qFormat/>
    <w:pPr>
      <w:jc w:val="center"/>
    </w:pPr>
    <w:rPr>
      <w:rFonts w:ascii="Times" w:hAnsi="Times" w:cs="Times"/>
      <w:sz w:val="18"/>
      <w:szCs w:val="18"/>
    </w:rPr>
  </w:style>
  <w:style w:type="paragraph" w:customStyle="1" w:styleId="FETableFootnote">
    <w:name w:val="FE_Table_Footnote"/>
    <w:basedOn w:val="Normal"/>
    <w:qFormat/>
    <w:pPr>
      <w:spacing w:line="170" w:lineRule="exact"/>
      <w:ind w:firstLine="187"/>
    </w:pPr>
    <w:rPr>
      <w:rFonts w:cs="Helvetica"/>
      <w:sz w:val="16"/>
      <w:szCs w:val="16"/>
    </w:rPr>
  </w:style>
  <w:style w:type="paragraph" w:customStyle="1" w:styleId="FDSchemeFootnote">
    <w:name w:val="FD_Scheme_Footnote"/>
    <w:basedOn w:val="Normal"/>
    <w:qFormat/>
    <w:rPr>
      <w:rFonts w:cs="Helvetica"/>
    </w:rPr>
  </w:style>
  <w:style w:type="paragraph" w:customStyle="1" w:styleId="TCTableBody">
    <w:name w:val="TC_Table_Body"/>
    <w:basedOn w:val="VDTableTitle"/>
    <w:qFormat/>
    <w:pPr>
      <w:jc w:val="both"/>
    </w:pPr>
  </w:style>
  <w:style w:type="paragraph" w:styleId="Textodenotadefim">
    <w:name w:val="endnote text"/>
    <w:basedOn w:val="Normal"/>
    <w:semiHidden/>
    <w:rPr>
      <w:rFonts w:cs="Helvetica"/>
    </w:rPr>
  </w:style>
  <w:style w:type="paragraph" w:customStyle="1" w:styleId="VBChartTitle">
    <w:name w:val="VB_Chart_Title"/>
    <w:basedOn w:val="Normal"/>
    <w:next w:val="Normal"/>
    <w:qFormat/>
    <w:pPr>
      <w:spacing w:before="240" w:line="200" w:lineRule="exact"/>
      <w:jc w:val="both"/>
    </w:pPr>
    <w:rPr>
      <w:rFonts w:ascii="Times" w:hAnsi="Times" w:cs="Times"/>
      <w:sz w:val="19"/>
      <w:szCs w:val="19"/>
    </w:rPr>
  </w:style>
  <w:style w:type="paragraph" w:customStyle="1" w:styleId="FCChartFootnote">
    <w:name w:val="FC_Chart_Footnote"/>
    <w:basedOn w:val="FETableFootnote"/>
    <w:qFormat/>
    <w:pPr>
      <w:spacing w:before="120" w:line="180" w:lineRule="exact"/>
      <w:jc w:val="both"/>
    </w:pPr>
    <w:rPr>
      <w:rFonts w:ascii="Times" w:hAnsi="Times" w:cs="Times"/>
      <w:sz w:val="17"/>
      <w:szCs w:val="17"/>
    </w:rPr>
  </w:style>
  <w:style w:type="paragraph" w:customStyle="1" w:styleId="CabealhoeRodap">
    <w:name w:val="Cabeçalho e Rodapé"/>
    <w:basedOn w:val="Normal"/>
    <w:qFormat/>
  </w:style>
  <w:style w:type="paragraph" w:styleId="Cabealho">
    <w:name w:val="header"/>
    <w:basedOn w:val="Normal"/>
    <w:link w:val="CabealhoChar"/>
    <w:uiPriority w:val="99"/>
    <w:pPr>
      <w:tabs>
        <w:tab w:val="center" w:pos="4320"/>
        <w:tab w:val="right" w:pos="8640"/>
      </w:tabs>
    </w:pPr>
    <w:rPr>
      <w:rFonts w:cs="Helvetica"/>
    </w:rPr>
  </w:style>
  <w:style w:type="paragraph" w:styleId="Rodap">
    <w:name w:val="footer"/>
    <w:basedOn w:val="Normal"/>
    <w:pPr>
      <w:tabs>
        <w:tab w:val="center" w:pos="4419"/>
        <w:tab w:val="right" w:pos="8838"/>
      </w:tabs>
    </w:pPr>
    <w:rPr>
      <w:rFonts w:cs="Helvetica"/>
    </w:rPr>
  </w:style>
  <w:style w:type="paragraph" w:styleId="Textodebalo">
    <w:name w:val="Balloon Text"/>
    <w:basedOn w:val="Normal"/>
    <w:link w:val="TextodebaloChar"/>
    <w:qFormat/>
    <w:rsid w:val="00D80366"/>
    <w:rPr>
      <w:rFonts w:ascii="Segoe UI" w:hAnsi="Segoe UI" w:cs="Segoe UI"/>
      <w:sz w:val="18"/>
      <w:szCs w:val="18"/>
    </w:rPr>
  </w:style>
  <w:style w:type="table" w:styleId="Tabelacomgrade">
    <w:name w:val="Table Grid"/>
    <w:basedOn w:val="Tabelanormal"/>
    <w:uiPriority w:val="59"/>
    <w:rsid w:val="006A79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4D0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V/4/mA3pgqYko1eqzE2xIBBZw==">CgMxLjAyCGguZ2pkZ3hzMghoLmdqZGd4czIIaC5namRneHMyCWguMzBqMHpsbDIJaC4zMGowemxsMgloLjMwajB6bGw4AHIhMXlCbjdNeTU0Y2MwUVNTcl9BajByZjJYMmVNTUVGdENq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772</Words>
  <Characters>4172</Characters>
  <Application>Microsoft Office Word</Application>
  <DocSecurity>0</DocSecurity>
  <Lines>34</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 A 18 de maio de 2022</dc:creator>
  <cp:lastModifiedBy>Francislayne Cortez</cp:lastModifiedBy>
  <cp:revision>2</cp:revision>
  <dcterms:created xsi:type="dcterms:W3CDTF">2024-05-22T12:13:00Z</dcterms:created>
  <dcterms:modified xsi:type="dcterms:W3CDTF">2024-08-06T21:21:00Z</dcterms:modified>
</cp:coreProperties>
</file>